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C163E" w14:textId="65B33C60" w:rsidR="00177250" w:rsidRPr="00256A6F" w:rsidRDefault="004044B2" w:rsidP="001507C1">
      <w:pPr>
        <w:rPr>
          <w:rFonts w:ascii="Helvetica" w:hAnsi="Helvetica" w:cs="Tahoma"/>
          <w:b/>
          <w:color w:val="69016E" w:themeColor="accent1"/>
          <w:sz w:val="24"/>
          <w:szCs w:val="24"/>
        </w:rPr>
      </w:pPr>
      <w:r w:rsidRPr="00177250">
        <w:rPr>
          <w:rFonts w:ascii="Helvetica" w:hAnsi="Helvetica" w:cs="Tahoma"/>
          <w:b/>
          <w:color w:val="69016E" w:themeColor="accent1"/>
          <w:sz w:val="24"/>
          <w:szCs w:val="24"/>
        </w:rPr>
        <w:t>Numbers Matter: C</w:t>
      </w:r>
      <w:r w:rsidR="00385E39" w:rsidRPr="00177250">
        <w:rPr>
          <w:rFonts w:ascii="Helvetica" w:hAnsi="Helvetica" w:cs="Tahoma"/>
          <w:b/>
          <w:color w:val="69016E" w:themeColor="accent1"/>
          <w:sz w:val="24"/>
          <w:szCs w:val="24"/>
        </w:rPr>
        <w:t xml:space="preserve">larifying the </w:t>
      </w:r>
      <w:r w:rsidRPr="00177250">
        <w:rPr>
          <w:rFonts w:ascii="Helvetica" w:hAnsi="Helvetica" w:cs="Tahoma"/>
          <w:b/>
          <w:color w:val="69016E" w:themeColor="accent1"/>
          <w:sz w:val="24"/>
          <w:szCs w:val="24"/>
        </w:rPr>
        <w:t>D</w:t>
      </w:r>
      <w:r w:rsidR="00385E39" w:rsidRPr="00177250">
        <w:rPr>
          <w:rFonts w:ascii="Helvetica" w:hAnsi="Helvetica" w:cs="Tahoma"/>
          <w:b/>
          <w:color w:val="69016E" w:themeColor="accent1"/>
          <w:sz w:val="24"/>
          <w:szCs w:val="24"/>
        </w:rPr>
        <w:t xml:space="preserve">ata on </w:t>
      </w:r>
      <w:r w:rsidRPr="00177250">
        <w:rPr>
          <w:rFonts w:ascii="Helvetica" w:hAnsi="Helvetica" w:cs="Tahoma"/>
          <w:b/>
          <w:color w:val="69016E" w:themeColor="accent1"/>
          <w:sz w:val="24"/>
          <w:szCs w:val="24"/>
        </w:rPr>
        <w:t>W</w:t>
      </w:r>
      <w:r w:rsidR="00385E39" w:rsidRPr="00177250">
        <w:rPr>
          <w:rFonts w:ascii="Helvetica" w:hAnsi="Helvetica" w:cs="Tahoma"/>
          <w:b/>
          <w:color w:val="69016E" w:themeColor="accent1"/>
          <w:sz w:val="24"/>
          <w:szCs w:val="24"/>
        </w:rPr>
        <w:t xml:space="preserve">omen </w:t>
      </w:r>
      <w:r w:rsidRPr="00177250">
        <w:rPr>
          <w:rFonts w:ascii="Helvetica" w:hAnsi="Helvetica" w:cs="Tahoma"/>
          <w:b/>
          <w:color w:val="69016E" w:themeColor="accent1"/>
          <w:sz w:val="24"/>
          <w:szCs w:val="24"/>
        </w:rPr>
        <w:t>W</w:t>
      </w:r>
      <w:r w:rsidR="00385E39" w:rsidRPr="00177250">
        <w:rPr>
          <w:rFonts w:ascii="Helvetica" w:hAnsi="Helvetica" w:cs="Tahoma"/>
          <w:b/>
          <w:color w:val="69016E" w:themeColor="accent1"/>
          <w:sz w:val="24"/>
          <w:szCs w:val="24"/>
        </w:rPr>
        <w:t xml:space="preserve">orking in </w:t>
      </w:r>
      <w:r w:rsidRPr="00177250">
        <w:rPr>
          <w:rFonts w:ascii="Helvetica" w:hAnsi="Helvetica" w:cs="Tahoma"/>
          <w:b/>
          <w:color w:val="69016E" w:themeColor="accent1"/>
          <w:sz w:val="24"/>
          <w:szCs w:val="24"/>
        </w:rPr>
        <w:t>C</w:t>
      </w:r>
      <w:r w:rsidR="00385E39" w:rsidRPr="00177250">
        <w:rPr>
          <w:rFonts w:ascii="Helvetica" w:hAnsi="Helvetica" w:cs="Tahoma"/>
          <w:b/>
          <w:color w:val="69016E" w:themeColor="accent1"/>
          <w:sz w:val="24"/>
          <w:szCs w:val="24"/>
        </w:rPr>
        <w:t>onstruction</w:t>
      </w:r>
    </w:p>
    <w:p w14:paraId="2A091533" w14:textId="794D4667" w:rsidR="004731CA" w:rsidRPr="00E550BE" w:rsidRDefault="00F547CC" w:rsidP="004731CA">
      <w:pPr>
        <w:pStyle w:val="BodyText"/>
        <w:spacing w:before="57"/>
        <w:ind w:right="166"/>
        <w:rPr>
          <w:rFonts w:ascii="Helvetica" w:hAnsi="Helvetica" w:cs="Tahoma"/>
          <w:sz w:val="20"/>
          <w:szCs w:val="20"/>
        </w:rPr>
      </w:pPr>
      <w:r w:rsidRPr="00E550BE">
        <w:rPr>
          <w:rFonts w:ascii="Helvetica" w:hAnsi="Helvetica" w:cs="Tahoma"/>
          <w:sz w:val="20"/>
          <w:szCs w:val="20"/>
        </w:rPr>
        <w:t>In</w:t>
      </w:r>
      <w:r w:rsidR="006275D1" w:rsidRPr="00E550BE">
        <w:rPr>
          <w:rFonts w:ascii="Helvetica" w:hAnsi="Helvetica" w:cs="Tahoma"/>
          <w:sz w:val="20"/>
          <w:szCs w:val="20"/>
        </w:rPr>
        <w:t xml:space="preserve"> 2021 the number of women working in trades occupations reached the highest level ever, at 314,000</w:t>
      </w:r>
      <w:r w:rsidR="004731CA" w:rsidRPr="00E550BE">
        <w:rPr>
          <w:rFonts w:ascii="Helvetica" w:hAnsi="Helvetica" w:cs="Tahoma"/>
          <w:sz w:val="20"/>
          <w:szCs w:val="20"/>
        </w:rPr>
        <w:t xml:space="preserve">. </w:t>
      </w:r>
      <w:r w:rsidR="006275D1" w:rsidRPr="00E550BE">
        <w:rPr>
          <w:rFonts w:ascii="Helvetica" w:hAnsi="Helvetica" w:cs="Tahoma"/>
          <w:sz w:val="20"/>
          <w:szCs w:val="20"/>
        </w:rPr>
        <w:t>During the last five years the number of tradeswomen increased by almost one third</w:t>
      </w:r>
      <w:r w:rsidR="002B2C95" w:rsidRPr="00E550BE">
        <w:rPr>
          <w:rFonts w:ascii="Helvetica" w:hAnsi="Helvetica" w:cs="Tahoma"/>
          <w:sz w:val="20"/>
          <w:szCs w:val="20"/>
        </w:rPr>
        <w:t xml:space="preserve">. </w:t>
      </w:r>
      <w:r w:rsidR="004731CA" w:rsidRPr="00E550BE">
        <w:rPr>
          <w:rFonts w:ascii="Helvetica" w:hAnsi="Helvetica" w:cs="Tahoma"/>
          <w:sz w:val="20"/>
          <w:szCs w:val="20"/>
        </w:rPr>
        <w:t>More women work as tradeswomen than as dental hygienists or veterinarians. Yet tradeswomen are only 3.</w:t>
      </w:r>
      <w:r w:rsidR="006275D1" w:rsidRPr="00E550BE">
        <w:rPr>
          <w:rFonts w:ascii="Helvetica" w:hAnsi="Helvetica" w:cs="Tahoma"/>
          <w:sz w:val="20"/>
          <w:szCs w:val="20"/>
        </w:rPr>
        <w:t xml:space="preserve">9 </w:t>
      </w:r>
      <w:r w:rsidR="00840080" w:rsidRPr="00E550BE">
        <w:rPr>
          <w:rFonts w:ascii="Helvetica" w:hAnsi="Helvetica" w:cs="Tahoma"/>
          <w:sz w:val="20"/>
          <w:szCs w:val="20"/>
        </w:rPr>
        <w:t>percent</w:t>
      </w:r>
      <w:r w:rsidR="004731CA" w:rsidRPr="00E550BE">
        <w:rPr>
          <w:rFonts w:ascii="Helvetica" w:hAnsi="Helvetica" w:cs="Tahoma"/>
          <w:sz w:val="20"/>
          <w:szCs w:val="20"/>
        </w:rPr>
        <w:t xml:space="preserve"> of those who work with the tools in construction. </w:t>
      </w:r>
      <w:r w:rsidR="00F348BE">
        <w:rPr>
          <w:rFonts w:ascii="Helvetica" w:hAnsi="Helvetica" w:cs="Tahoma"/>
          <w:sz w:val="20"/>
          <w:szCs w:val="20"/>
        </w:rPr>
        <w:t>However, these trends show that construction careers are attracting an increasing number of women.</w:t>
      </w:r>
    </w:p>
    <w:p w14:paraId="397F0CB6" w14:textId="77777777" w:rsidR="004731CA" w:rsidRPr="00E550BE" w:rsidRDefault="004731CA" w:rsidP="004731CA">
      <w:pPr>
        <w:pStyle w:val="BodyText"/>
        <w:spacing w:before="57"/>
        <w:ind w:right="166"/>
        <w:rPr>
          <w:rFonts w:ascii="Helvetica" w:hAnsi="Helvetica" w:cs="Tahoma"/>
          <w:sz w:val="20"/>
          <w:szCs w:val="20"/>
        </w:rPr>
      </w:pPr>
    </w:p>
    <w:p w14:paraId="5A176B05" w14:textId="4397914F" w:rsidR="004731CA" w:rsidRPr="00E550BE" w:rsidRDefault="004731CA" w:rsidP="004731CA">
      <w:pPr>
        <w:pStyle w:val="BodyText"/>
        <w:ind w:right="168"/>
        <w:rPr>
          <w:rFonts w:ascii="Helvetica" w:hAnsi="Helvetica" w:cs="Tahoma"/>
          <w:sz w:val="20"/>
          <w:szCs w:val="20"/>
        </w:rPr>
      </w:pPr>
      <w:r w:rsidRPr="00E550BE">
        <w:rPr>
          <w:rFonts w:ascii="Helvetica" w:hAnsi="Helvetica" w:cs="Tahoma"/>
          <w:sz w:val="20"/>
          <w:szCs w:val="20"/>
        </w:rPr>
        <w:t xml:space="preserve">Construction trades careers do not require </w:t>
      </w:r>
      <w:r w:rsidR="00A04748" w:rsidRPr="00E550BE">
        <w:rPr>
          <w:rFonts w:ascii="Helvetica" w:hAnsi="Helvetica" w:cs="Tahoma"/>
          <w:sz w:val="20"/>
          <w:szCs w:val="20"/>
        </w:rPr>
        <w:t xml:space="preserve">a college degree, </w:t>
      </w:r>
      <w:r w:rsidR="003861E6" w:rsidRPr="00E550BE">
        <w:rPr>
          <w:rFonts w:ascii="Helvetica" w:hAnsi="Helvetica" w:cs="Tahoma"/>
          <w:sz w:val="20"/>
          <w:szCs w:val="20"/>
        </w:rPr>
        <w:t>are accessible through earn-as-you-learn apprenticeships, and, especially in union jobs, provide good pay with benefits.</w:t>
      </w:r>
      <w:r w:rsidR="0081151F" w:rsidRPr="00E550BE">
        <w:rPr>
          <w:rFonts w:ascii="Helvetica" w:hAnsi="Helvetica" w:cs="Tahoma"/>
          <w:sz w:val="20"/>
          <w:szCs w:val="20"/>
        </w:rPr>
        <w:t xml:space="preserve"> </w:t>
      </w:r>
      <w:r w:rsidRPr="00E550BE">
        <w:rPr>
          <w:rFonts w:ascii="Helvetica" w:hAnsi="Helvetica" w:cs="Tahoma"/>
          <w:sz w:val="20"/>
          <w:szCs w:val="20"/>
        </w:rPr>
        <w:t>Access to family sustaining blue-collar careers is critical for women’s economic security.</w:t>
      </w:r>
      <w:r w:rsidR="000C31B6" w:rsidRPr="00E550BE">
        <w:rPr>
          <w:rFonts w:ascii="Helvetica" w:hAnsi="Helvetica" w:cs="Tahoma"/>
          <w:sz w:val="20"/>
          <w:szCs w:val="20"/>
        </w:rPr>
        <w:t xml:space="preserve"> While tradeswomen have made much progress in recent years, too many, </w:t>
      </w:r>
      <w:r w:rsidRPr="00E550BE">
        <w:rPr>
          <w:rFonts w:ascii="Helvetica" w:hAnsi="Helvetica" w:cs="Tahoma"/>
          <w:sz w:val="20"/>
          <w:szCs w:val="20"/>
        </w:rPr>
        <w:t>particularly women of color, face discrimination in hiring and employment and experien</w:t>
      </w:r>
      <w:r w:rsidR="00C11C78">
        <w:rPr>
          <w:rFonts w:ascii="Helvetica" w:hAnsi="Helvetica" w:cs="Tahoma"/>
          <w:sz w:val="20"/>
          <w:szCs w:val="20"/>
        </w:rPr>
        <w:t xml:space="preserve">ce sexual harassment and gender or racial </w:t>
      </w:r>
      <w:r w:rsidRPr="00E550BE">
        <w:rPr>
          <w:rFonts w:ascii="Helvetica" w:hAnsi="Helvetica" w:cs="Tahoma"/>
          <w:sz w:val="20"/>
          <w:szCs w:val="20"/>
        </w:rPr>
        <w:t>bias on the job.</w:t>
      </w:r>
      <w:r w:rsidR="000C31B6" w:rsidRPr="00E550BE">
        <w:rPr>
          <w:rStyle w:val="FootnoteReference"/>
          <w:rFonts w:ascii="Helvetica" w:hAnsi="Helvetica" w:cs="Tahoma"/>
          <w:sz w:val="20"/>
          <w:szCs w:val="20"/>
        </w:rPr>
        <w:footnoteReference w:id="1"/>
      </w:r>
      <w:r w:rsidRPr="00E550BE">
        <w:rPr>
          <w:rFonts w:ascii="Helvetica" w:hAnsi="Helvetica" w:cs="Tahoma"/>
          <w:sz w:val="20"/>
          <w:szCs w:val="20"/>
        </w:rPr>
        <w:t xml:space="preserve"> Women are less likely to be retained on core crews, promoted to field leadership positions or to receive the same on-the-job technical training as men. Such adverse conditions mean that women are less likely to complete their apprenticeships than men, and are more likely to leave the industry.</w:t>
      </w:r>
    </w:p>
    <w:p w14:paraId="4F7194E7" w14:textId="77777777" w:rsidR="004731CA" w:rsidRPr="00E550BE" w:rsidRDefault="004731CA" w:rsidP="004731CA">
      <w:pPr>
        <w:pStyle w:val="BodyText"/>
        <w:ind w:right="168"/>
        <w:rPr>
          <w:rFonts w:ascii="Helvetica" w:hAnsi="Helvetica" w:cs="Tahoma"/>
          <w:sz w:val="20"/>
          <w:szCs w:val="20"/>
        </w:rPr>
      </w:pPr>
    </w:p>
    <w:p w14:paraId="536A45F2" w14:textId="31562DA6" w:rsidR="004731CA" w:rsidRPr="00E550BE" w:rsidRDefault="004731CA" w:rsidP="004731CA">
      <w:pPr>
        <w:pStyle w:val="BodyText"/>
        <w:ind w:right="168"/>
        <w:rPr>
          <w:rFonts w:ascii="Helvetica" w:hAnsi="Helvetica" w:cs="Tahoma"/>
          <w:sz w:val="20"/>
          <w:szCs w:val="20"/>
        </w:rPr>
      </w:pPr>
      <w:r w:rsidRPr="00E550BE">
        <w:rPr>
          <w:rFonts w:ascii="Helvetica" w:hAnsi="Helvetica" w:cs="Tahoma"/>
          <w:sz w:val="20"/>
          <w:szCs w:val="20"/>
        </w:rPr>
        <w:t xml:space="preserve">Women are </w:t>
      </w:r>
      <w:r w:rsidR="00782B3C">
        <w:rPr>
          <w:rFonts w:ascii="Helvetica" w:hAnsi="Helvetica" w:cs="Tahoma"/>
          <w:sz w:val="20"/>
          <w:szCs w:val="20"/>
        </w:rPr>
        <w:t xml:space="preserve">also </w:t>
      </w:r>
      <w:r w:rsidRPr="00E550BE">
        <w:rPr>
          <w:rFonts w:ascii="Helvetica" w:hAnsi="Helvetica" w:cs="Tahoma"/>
          <w:sz w:val="20"/>
          <w:szCs w:val="20"/>
        </w:rPr>
        <w:t>under-represented in other aspects of construction (</w:t>
      </w:r>
      <w:r w:rsidR="000173B2" w:rsidRPr="00E550BE">
        <w:rPr>
          <w:rFonts w:ascii="Helvetica" w:hAnsi="Helvetica" w:cs="Tahoma"/>
          <w:sz w:val="20"/>
          <w:szCs w:val="20"/>
        </w:rPr>
        <w:t xml:space="preserve">women are only </w:t>
      </w:r>
      <w:r w:rsidR="00037DFF" w:rsidRPr="00E550BE">
        <w:rPr>
          <w:rFonts w:ascii="Helvetica" w:hAnsi="Helvetica" w:cs="Tahoma"/>
          <w:sz w:val="20"/>
          <w:szCs w:val="20"/>
        </w:rPr>
        <w:t>8.6</w:t>
      </w:r>
      <w:r w:rsidR="000173B2" w:rsidRPr="00E550BE">
        <w:rPr>
          <w:rFonts w:ascii="Helvetica" w:hAnsi="Helvetica" w:cs="Tahoma"/>
          <w:sz w:val="20"/>
          <w:szCs w:val="20"/>
        </w:rPr>
        <w:t xml:space="preserve"> percent</w:t>
      </w:r>
      <w:r w:rsidRPr="00E550BE">
        <w:rPr>
          <w:rFonts w:ascii="Helvetica" w:hAnsi="Helvetica" w:cs="Tahoma"/>
          <w:sz w:val="20"/>
          <w:szCs w:val="20"/>
        </w:rPr>
        <w:t xml:space="preserve"> </w:t>
      </w:r>
      <w:r w:rsidR="000173B2" w:rsidRPr="00E550BE">
        <w:rPr>
          <w:rFonts w:ascii="Helvetica" w:hAnsi="Helvetica" w:cs="Tahoma"/>
          <w:sz w:val="20"/>
          <w:szCs w:val="20"/>
        </w:rPr>
        <w:t>of construction managers</w:t>
      </w:r>
      <w:r w:rsidR="00F376BC" w:rsidRPr="00E550BE">
        <w:rPr>
          <w:rFonts w:ascii="Helvetica" w:hAnsi="Helvetica" w:cs="Tahoma"/>
          <w:sz w:val="20"/>
          <w:szCs w:val="20"/>
        </w:rPr>
        <w:t>)</w:t>
      </w:r>
      <w:r w:rsidRPr="00E550BE">
        <w:rPr>
          <w:rFonts w:ascii="Helvetica" w:hAnsi="Helvetica" w:cs="Tahoma"/>
          <w:sz w:val="20"/>
          <w:szCs w:val="20"/>
        </w:rPr>
        <w:t>. For the whole construction sector</w:t>
      </w:r>
      <w:r w:rsidR="00F376BC" w:rsidRPr="00E550BE">
        <w:rPr>
          <w:rFonts w:ascii="Helvetica" w:hAnsi="Helvetica" w:cs="Tahoma"/>
          <w:sz w:val="20"/>
          <w:szCs w:val="20"/>
        </w:rPr>
        <w:t>,</w:t>
      </w:r>
      <w:r w:rsidRPr="00E550BE">
        <w:rPr>
          <w:rFonts w:ascii="Helvetica" w:hAnsi="Helvetica" w:cs="Tahoma"/>
          <w:sz w:val="20"/>
          <w:szCs w:val="20"/>
        </w:rPr>
        <w:t xml:space="preserve"> including office and administrative staff, women comprise only </w:t>
      </w:r>
      <w:r w:rsidR="00037DFF" w:rsidRPr="00E550BE">
        <w:rPr>
          <w:rFonts w:ascii="Helvetica" w:hAnsi="Helvetica" w:cs="Tahoma"/>
          <w:sz w:val="20"/>
          <w:szCs w:val="20"/>
        </w:rPr>
        <w:t>11.0</w:t>
      </w:r>
      <w:r w:rsidR="00840080" w:rsidRPr="00E550BE">
        <w:rPr>
          <w:rFonts w:ascii="Helvetica" w:hAnsi="Helvetica" w:cs="Tahoma"/>
          <w:sz w:val="20"/>
          <w:szCs w:val="20"/>
        </w:rPr>
        <w:t xml:space="preserve"> percent</w:t>
      </w:r>
      <w:r w:rsidRPr="00E550BE">
        <w:rPr>
          <w:rFonts w:ascii="Helvetica" w:hAnsi="Helvetica" w:cs="Tahoma"/>
          <w:sz w:val="20"/>
          <w:szCs w:val="20"/>
        </w:rPr>
        <w:t xml:space="preserve">. </w:t>
      </w:r>
      <w:r w:rsidR="00F348BE">
        <w:rPr>
          <w:rFonts w:ascii="Helvetica" w:hAnsi="Helvetica" w:cs="Tahoma"/>
          <w:sz w:val="20"/>
          <w:szCs w:val="20"/>
        </w:rPr>
        <w:t xml:space="preserve">With the current worker shortage, women are an untapped source of potential workers. </w:t>
      </w:r>
    </w:p>
    <w:p w14:paraId="58C4436F" w14:textId="77777777" w:rsidR="001507C1" w:rsidRPr="00E550BE" w:rsidRDefault="001507C1" w:rsidP="001507C1">
      <w:pPr>
        <w:pStyle w:val="BodyText"/>
        <w:ind w:left="100" w:right="168"/>
        <w:rPr>
          <w:rFonts w:ascii="Helvetica" w:hAnsi="Helvetica" w:cs="Tahoma"/>
        </w:rPr>
      </w:pPr>
    </w:p>
    <w:p w14:paraId="7C5BCEBD" w14:textId="3DFC1B72" w:rsidR="00BF5BCD" w:rsidRPr="00177250" w:rsidRDefault="00BF5BCD" w:rsidP="00BF5BCD">
      <w:pPr>
        <w:rPr>
          <w:rFonts w:ascii="Helvetica" w:hAnsi="Helvetica" w:cs="Tahoma"/>
          <w:b/>
          <w:color w:val="69016E" w:themeColor="accent1"/>
          <w:sz w:val="24"/>
          <w:szCs w:val="24"/>
        </w:rPr>
      </w:pPr>
      <w:r w:rsidRPr="00177250">
        <w:rPr>
          <w:rFonts w:ascii="Helvetica" w:hAnsi="Helvetica" w:cs="Tahoma"/>
          <w:b/>
          <w:color w:val="69016E" w:themeColor="accent1"/>
          <w:sz w:val="24"/>
          <w:szCs w:val="24"/>
        </w:rPr>
        <w:t>Table</w:t>
      </w:r>
      <w:r w:rsidR="009A0C76" w:rsidRPr="00177250">
        <w:rPr>
          <w:rFonts w:ascii="Helvetica" w:hAnsi="Helvetica" w:cs="Tahoma"/>
          <w:b/>
          <w:color w:val="69016E" w:themeColor="accent1"/>
          <w:sz w:val="24"/>
          <w:szCs w:val="24"/>
        </w:rPr>
        <w:t xml:space="preserve"> </w:t>
      </w:r>
      <w:r w:rsidR="00260C1D" w:rsidRPr="00177250">
        <w:rPr>
          <w:rFonts w:ascii="Helvetica" w:hAnsi="Helvetica" w:cs="Tahoma"/>
          <w:b/>
          <w:color w:val="69016E" w:themeColor="accent1"/>
          <w:sz w:val="24"/>
          <w:szCs w:val="24"/>
        </w:rPr>
        <w:t>1</w:t>
      </w:r>
      <w:r w:rsidR="009A0C76" w:rsidRPr="00177250">
        <w:rPr>
          <w:rFonts w:ascii="Helvetica" w:hAnsi="Helvetica" w:cs="Tahoma"/>
          <w:b/>
          <w:color w:val="69016E" w:themeColor="accent1"/>
          <w:sz w:val="24"/>
          <w:szCs w:val="24"/>
        </w:rPr>
        <w:t>.</w:t>
      </w:r>
      <w:r w:rsidRPr="00177250">
        <w:rPr>
          <w:rFonts w:ascii="Helvetica" w:hAnsi="Helvetica" w:cs="Tahoma"/>
          <w:b/>
          <w:color w:val="69016E" w:themeColor="accent1"/>
          <w:sz w:val="24"/>
          <w:szCs w:val="24"/>
        </w:rPr>
        <w:t xml:space="preserve"> Women </w:t>
      </w:r>
      <w:r w:rsidR="009A0C76" w:rsidRPr="00177250">
        <w:rPr>
          <w:rFonts w:ascii="Helvetica" w:hAnsi="Helvetica" w:cs="Tahoma"/>
          <w:b/>
          <w:color w:val="69016E" w:themeColor="accent1"/>
          <w:sz w:val="24"/>
          <w:szCs w:val="24"/>
        </w:rPr>
        <w:t>W</w:t>
      </w:r>
      <w:r w:rsidRPr="00177250">
        <w:rPr>
          <w:rFonts w:ascii="Helvetica" w:hAnsi="Helvetica" w:cs="Tahoma"/>
          <w:b/>
          <w:color w:val="69016E" w:themeColor="accent1"/>
          <w:sz w:val="24"/>
          <w:szCs w:val="24"/>
        </w:rPr>
        <w:t>orking in Construction</w:t>
      </w:r>
      <w:r w:rsidR="00234BCF" w:rsidRPr="00177250">
        <w:rPr>
          <w:rFonts w:ascii="Helvetica" w:hAnsi="Helvetica" w:cs="Tahoma"/>
          <w:b/>
          <w:color w:val="69016E" w:themeColor="accent1"/>
          <w:sz w:val="24"/>
          <w:szCs w:val="24"/>
        </w:rPr>
        <w:t xml:space="preserve"> &amp; Extraction </w:t>
      </w:r>
      <w:r w:rsidR="00F007A8" w:rsidRPr="00177250">
        <w:rPr>
          <w:rFonts w:ascii="Helvetica" w:hAnsi="Helvetica" w:cs="Tahoma"/>
          <w:b/>
          <w:color w:val="69016E" w:themeColor="accent1"/>
          <w:sz w:val="24"/>
          <w:szCs w:val="24"/>
        </w:rPr>
        <w:t>Occupations</w:t>
      </w:r>
      <w:r w:rsidRPr="00177250">
        <w:rPr>
          <w:rFonts w:ascii="Helvetica" w:hAnsi="Helvetica" w:cs="Tahoma"/>
          <w:b/>
          <w:color w:val="69016E" w:themeColor="accent1"/>
          <w:sz w:val="24"/>
          <w:szCs w:val="24"/>
        </w:rPr>
        <w:t xml:space="preserve">, </w:t>
      </w:r>
      <w:r w:rsidR="004254C1" w:rsidRPr="00177250">
        <w:rPr>
          <w:rFonts w:ascii="Helvetica" w:hAnsi="Helvetica" w:cs="Tahoma"/>
          <w:b/>
          <w:color w:val="69016E" w:themeColor="accent1"/>
          <w:sz w:val="24"/>
          <w:szCs w:val="24"/>
        </w:rPr>
        <w:t>2016 to 2021</w:t>
      </w:r>
    </w:p>
    <w:tbl>
      <w:tblPr>
        <w:tblW w:w="10615" w:type="dxa"/>
        <w:tblLook w:val="04A0" w:firstRow="1" w:lastRow="0" w:firstColumn="1" w:lastColumn="0" w:noHBand="0" w:noVBand="1"/>
      </w:tblPr>
      <w:tblGrid>
        <w:gridCol w:w="4647"/>
        <w:gridCol w:w="1169"/>
        <w:gridCol w:w="1024"/>
        <w:gridCol w:w="1259"/>
        <w:gridCol w:w="1169"/>
        <w:gridCol w:w="1347"/>
      </w:tblGrid>
      <w:tr w:rsidR="00EB43E4" w:rsidRPr="00F547CC" w14:paraId="2B61E7A2" w14:textId="77777777" w:rsidTr="009F4221">
        <w:trPr>
          <w:trHeight w:val="144"/>
        </w:trPr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81371C" w14:textId="77777777" w:rsidR="00EB43E4" w:rsidRPr="00E07180" w:rsidRDefault="00EB43E4" w:rsidP="00EB43E4">
            <w:pPr>
              <w:widowControl/>
              <w:autoSpaceDE/>
              <w:autoSpaceDN/>
              <w:jc w:val="center"/>
              <w:rPr>
                <w:rFonts w:ascii="Helvetica" w:eastAsia="Times New Roman" w:hAnsi="Helvetica" w:cs="Tahoma"/>
                <w:b/>
                <w:bCs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b/>
                <w:bCs/>
                <w:color w:val="000000"/>
                <w:lang w:bidi="ar-SA"/>
              </w:rPr>
              <w:t>Occupation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F2BEE35" w14:textId="0E6D78A4" w:rsidR="00EB43E4" w:rsidRPr="00E07180" w:rsidRDefault="00EB43E4" w:rsidP="00EB43E4">
            <w:pPr>
              <w:widowControl/>
              <w:autoSpaceDE/>
              <w:autoSpaceDN/>
              <w:jc w:val="center"/>
              <w:rPr>
                <w:rFonts w:ascii="Helvetica" w:eastAsia="Times New Roman" w:hAnsi="Helvetica" w:cs="Tahoma"/>
                <w:b/>
                <w:bCs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b/>
                <w:bCs/>
                <w:color w:val="000000"/>
                <w:lang w:bidi="ar-SA"/>
              </w:rPr>
              <w:t>2016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35E5A91" w14:textId="2C58DD26" w:rsidR="00EB43E4" w:rsidRPr="00E07180" w:rsidRDefault="00EB43E4" w:rsidP="00EB43E4">
            <w:pPr>
              <w:widowControl/>
              <w:autoSpaceDE/>
              <w:autoSpaceDN/>
              <w:jc w:val="center"/>
              <w:rPr>
                <w:rFonts w:ascii="Helvetica" w:eastAsia="Times New Roman" w:hAnsi="Helvetica" w:cs="Tahoma"/>
                <w:b/>
                <w:bCs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b/>
                <w:bCs/>
                <w:color w:val="000000"/>
                <w:lang w:bidi="ar-SA"/>
              </w:rPr>
              <w:t>2021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C55B7E" w14:textId="77777777" w:rsidR="00EB43E4" w:rsidRPr="00E07180" w:rsidRDefault="00EB43E4" w:rsidP="00EB43E4">
            <w:pPr>
              <w:widowControl/>
              <w:autoSpaceDE/>
              <w:autoSpaceDN/>
              <w:jc w:val="center"/>
              <w:rPr>
                <w:rFonts w:ascii="Helvetica" w:eastAsia="Times New Roman" w:hAnsi="Helvetica" w:cs="Tahoma"/>
                <w:b/>
                <w:bCs/>
                <w:color w:val="000000" w:themeColor="text1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b/>
                <w:bCs/>
                <w:color w:val="000000" w:themeColor="text1"/>
                <w:lang w:bidi="ar-SA"/>
              </w:rPr>
              <w:t>Percent Change, 2016-2021</w:t>
            </w:r>
          </w:p>
        </w:tc>
      </w:tr>
      <w:tr w:rsidR="00EB43E4" w:rsidRPr="00F547CC" w14:paraId="6EB504DB" w14:textId="77777777" w:rsidTr="009F4221">
        <w:trPr>
          <w:trHeight w:val="144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82FE7" w14:textId="77777777" w:rsidR="00EB43E4" w:rsidRPr="00E07180" w:rsidRDefault="00EB43E4" w:rsidP="00E4466D">
            <w:pPr>
              <w:widowControl/>
              <w:autoSpaceDE/>
              <w:autoSpaceDN/>
              <w:rPr>
                <w:rFonts w:ascii="Helvetica" w:eastAsia="Times New Roman" w:hAnsi="Helvetica" w:cs="Tahoma"/>
                <w:b/>
                <w:bCs/>
                <w:color w:val="000000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6274F4" w14:textId="0965AE70" w:rsidR="00EB43E4" w:rsidRPr="00E07180" w:rsidRDefault="00EB43E4" w:rsidP="00EB43E4">
            <w:pPr>
              <w:widowControl/>
              <w:autoSpaceDE/>
              <w:autoSpaceDN/>
              <w:jc w:val="center"/>
              <w:rPr>
                <w:rFonts w:ascii="Helvetica" w:eastAsia="Times New Roman" w:hAnsi="Helvetica" w:cs="Tahoma"/>
                <w:b/>
                <w:bCs/>
                <w:color w:val="000000" w:themeColor="text1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b/>
                <w:bCs/>
                <w:color w:val="000000" w:themeColor="text1"/>
                <w:lang w:bidi="ar-SA"/>
              </w:rPr>
              <w:t>Number Women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2D8BC8" w14:textId="77777777" w:rsidR="00EB43E4" w:rsidRPr="00E07180" w:rsidRDefault="00EB43E4" w:rsidP="00EB43E4">
            <w:pPr>
              <w:widowControl/>
              <w:autoSpaceDE/>
              <w:autoSpaceDN/>
              <w:jc w:val="center"/>
              <w:rPr>
                <w:rFonts w:ascii="Helvetica" w:eastAsia="Times New Roman" w:hAnsi="Helvetica" w:cs="Tahoma"/>
                <w:b/>
                <w:bCs/>
                <w:color w:val="000000" w:themeColor="text1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b/>
                <w:bCs/>
                <w:color w:val="000000" w:themeColor="text1"/>
                <w:lang w:bidi="ar-SA"/>
              </w:rPr>
              <w:t>Percent Women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6585B04" w14:textId="1CE1B4B7" w:rsidR="00EB43E4" w:rsidRPr="00E07180" w:rsidRDefault="00EB43E4" w:rsidP="00EB43E4">
            <w:pPr>
              <w:widowControl/>
              <w:autoSpaceDE/>
              <w:autoSpaceDN/>
              <w:jc w:val="center"/>
              <w:rPr>
                <w:rFonts w:ascii="Helvetica" w:eastAsia="Times New Roman" w:hAnsi="Helvetica" w:cs="Tahoma"/>
                <w:b/>
                <w:bCs/>
                <w:color w:val="000000" w:themeColor="text1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b/>
                <w:bCs/>
                <w:color w:val="000000" w:themeColor="text1"/>
                <w:lang w:bidi="ar-SA"/>
              </w:rPr>
              <w:t>Number Women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A85662" w14:textId="77777777" w:rsidR="00EB43E4" w:rsidRPr="00E07180" w:rsidRDefault="00EB43E4" w:rsidP="00EB43E4">
            <w:pPr>
              <w:widowControl/>
              <w:autoSpaceDE/>
              <w:autoSpaceDN/>
              <w:jc w:val="center"/>
              <w:rPr>
                <w:rFonts w:ascii="Helvetica" w:eastAsia="Times New Roman" w:hAnsi="Helvetica" w:cs="Tahoma"/>
                <w:b/>
                <w:bCs/>
                <w:color w:val="000000" w:themeColor="text1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b/>
                <w:bCs/>
                <w:color w:val="000000" w:themeColor="text1"/>
                <w:lang w:bidi="ar-SA"/>
              </w:rPr>
              <w:t>Percent Women</w:t>
            </w:r>
          </w:p>
        </w:tc>
        <w:tc>
          <w:tcPr>
            <w:tcW w:w="135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6D4B5" w14:textId="77777777" w:rsidR="00EB43E4" w:rsidRPr="00E07180" w:rsidRDefault="00EB43E4" w:rsidP="00E4466D">
            <w:pPr>
              <w:widowControl/>
              <w:autoSpaceDE/>
              <w:autoSpaceDN/>
              <w:rPr>
                <w:rFonts w:ascii="Helvetica" w:eastAsia="Times New Roman" w:hAnsi="Helvetica" w:cs="Tahoma"/>
                <w:b/>
                <w:bCs/>
                <w:color w:val="000000"/>
                <w:lang w:bidi="ar-SA"/>
              </w:rPr>
            </w:pPr>
          </w:p>
        </w:tc>
      </w:tr>
      <w:tr w:rsidR="006A7BBA" w:rsidRPr="00F547CC" w14:paraId="7B196CB4" w14:textId="77777777" w:rsidTr="009F4221">
        <w:trPr>
          <w:trHeight w:val="144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C83F" w14:textId="423521A1" w:rsidR="006A7BBA" w:rsidRPr="00E07180" w:rsidRDefault="005575CA" w:rsidP="006A7BBA">
            <w:pPr>
              <w:widowControl/>
              <w:autoSpaceDE/>
              <w:autoSpaceDN/>
              <w:rPr>
                <w:rFonts w:ascii="Helvetica" w:eastAsia="Times New Roman" w:hAnsi="Helvetica" w:cs="Tahoma"/>
                <w:bCs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bCs/>
                <w:lang w:bidi="ar-SA"/>
              </w:rPr>
              <w:t xml:space="preserve">Construction </w:t>
            </w:r>
            <w:r w:rsidR="006A7BBA" w:rsidRPr="00E07180">
              <w:rPr>
                <w:rFonts w:ascii="Helvetica" w:eastAsia="Times New Roman" w:hAnsi="Helvetica" w:cs="Tahoma"/>
                <w:bCs/>
                <w:lang w:bidi="ar-SA"/>
              </w:rPr>
              <w:t>Tradeswomen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DCB2" w14:textId="215CC4C4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bCs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bCs/>
                <w:lang w:bidi="ar-SA"/>
              </w:rPr>
              <w:t>237,870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08144" w14:textId="3469FF48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bCs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bCs/>
                <w:lang w:bidi="ar-SA"/>
              </w:rPr>
              <w:t>3.0%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D70F" w14:textId="230304F9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bCs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bCs/>
                <w:lang w:bidi="ar-SA"/>
              </w:rPr>
              <w:t>314,223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2D9F" w14:textId="69128109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bCs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bCs/>
                <w:lang w:bidi="ar-SA"/>
              </w:rPr>
              <w:t>3.9%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F811" w14:textId="77777777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bCs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bCs/>
                <w:lang w:bidi="ar-SA"/>
              </w:rPr>
              <w:t>32.1%</w:t>
            </w:r>
          </w:p>
        </w:tc>
      </w:tr>
      <w:tr w:rsidR="006A7BBA" w:rsidRPr="00F547CC" w14:paraId="042BF968" w14:textId="77777777" w:rsidTr="009F4221">
        <w:trPr>
          <w:trHeight w:val="144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196C2F00" w14:textId="77777777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Laborers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6653E558" w14:textId="2551741B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63,035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3B9252B6" w14:textId="1DAE3F5D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3.5%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777BDF9D" w14:textId="1F8F75ED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97,425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663E7F85" w14:textId="732B0CDB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4.5%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06AF0A54" w14:textId="77777777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54.6%</w:t>
            </w:r>
          </w:p>
        </w:tc>
      </w:tr>
      <w:tr w:rsidR="006A7BBA" w:rsidRPr="00F547CC" w14:paraId="44E0A869" w14:textId="77777777" w:rsidTr="009F4221">
        <w:trPr>
          <w:trHeight w:val="144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C9CC" w14:textId="77777777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Painters and Paperhangers*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67BC" w14:textId="6A8C1D41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38,192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5BDA" w14:textId="5E33E863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6.6%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C21E" w14:textId="20812951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49,484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BF8D" w14:textId="7191572B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8.9%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8F70" w14:textId="77777777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29.6%</w:t>
            </w:r>
          </w:p>
        </w:tc>
      </w:tr>
      <w:tr w:rsidR="006A7BBA" w:rsidRPr="00F547CC" w14:paraId="0CA2E491" w14:textId="77777777" w:rsidTr="009F4221">
        <w:trPr>
          <w:trHeight w:val="144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79A98D1F" w14:textId="77777777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Carpenters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7897DB50" w14:textId="0DAC5FD4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28,539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74C59268" w14:textId="7193A7A0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2.1%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5A8E93D8" w14:textId="1DC67AA4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38,130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2ACAAD3F" w14:textId="3488F5EA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3.1%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3C651351" w14:textId="77777777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33.6%</w:t>
            </w:r>
          </w:p>
        </w:tc>
      </w:tr>
      <w:tr w:rsidR="006A7BBA" w:rsidRPr="00F547CC" w14:paraId="59FC96AD" w14:textId="77777777" w:rsidTr="009F4221">
        <w:trPr>
          <w:trHeight w:val="144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55DB" w14:textId="77777777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proofErr w:type="spellStart"/>
            <w:r w:rsidRPr="00E07180">
              <w:rPr>
                <w:rFonts w:ascii="Helvetica" w:eastAsia="Times New Roman" w:hAnsi="Helvetica" w:cs="Tahoma"/>
                <w:lang w:bidi="ar-SA"/>
              </w:rPr>
              <w:t>Pipelayers</w:t>
            </w:r>
            <w:proofErr w:type="spellEnd"/>
            <w:r w:rsidRPr="00E07180">
              <w:rPr>
                <w:rFonts w:ascii="Helvetica" w:eastAsia="Times New Roman" w:hAnsi="Helvetica" w:cs="Tahoma"/>
                <w:lang w:bidi="ar-SA"/>
              </w:rPr>
              <w:t>, plumbers, pipefitters, and steamfitters*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A1D3" w14:textId="760197E6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8,162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11BD" w14:textId="08522E5F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1.4%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63B1" w14:textId="4DEA12DE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12,327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4396" w14:textId="6B0FCB9E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2.1%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9380" w14:textId="77777777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51.0%</w:t>
            </w:r>
          </w:p>
        </w:tc>
      </w:tr>
      <w:tr w:rsidR="006A7BBA" w:rsidRPr="00F547CC" w14:paraId="54464960" w14:textId="77777777" w:rsidTr="009F4221">
        <w:trPr>
          <w:trHeight w:val="144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3FD46809" w14:textId="5636B673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Construction and Building Inspectors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52A8005A" w14:textId="7FD5FBF2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5,952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122269CB" w14:textId="78BB3A8C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6.4%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4D415634" w14:textId="3F3B2001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10,300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5E94F157" w14:textId="12177390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10.0%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12FB7864" w14:textId="77777777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73.1%</w:t>
            </w:r>
          </w:p>
        </w:tc>
      </w:tr>
      <w:tr w:rsidR="00902F1D" w:rsidRPr="00F547CC" w14:paraId="7E1D8B28" w14:textId="77777777" w:rsidTr="009F4221">
        <w:trPr>
          <w:trHeight w:val="144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FDB4" w14:textId="509D1BF1" w:rsidR="00902F1D" w:rsidRPr="00E07180" w:rsidRDefault="00902F1D" w:rsidP="00902F1D">
            <w:pPr>
              <w:widowControl/>
              <w:autoSpaceDE/>
              <w:autoSpaceDN/>
              <w:rPr>
                <w:rFonts w:ascii="Helvetica" w:eastAsia="Times New Roman" w:hAnsi="Helvetica" w:cs="Tahoma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First-line supervisors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C96A" w14:textId="3645D5AD" w:rsidR="00902F1D" w:rsidRPr="00E07180" w:rsidRDefault="00902F1D" w:rsidP="00902F1D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17,680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BDE58" w14:textId="3023219E" w:rsidR="00902F1D" w:rsidRPr="00E07180" w:rsidRDefault="00902F1D" w:rsidP="00902F1D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2.6%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DB2F4" w14:textId="4ECD8716" w:rsidR="00902F1D" w:rsidRPr="00E07180" w:rsidRDefault="00902F1D" w:rsidP="00902F1D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24,700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2470" w14:textId="3DC424EB" w:rsidR="00902F1D" w:rsidRPr="00E07180" w:rsidRDefault="00902F1D" w:rsidP="00902F1D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3.8%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DC8CE" w14:textId="28C9219E" w:rsidR="00902F1D" w:rsidRPr="00E07180" w:rsidRDefault="00902F1D" w:rsidP="00902F1D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39.7%</w:t>
            </w:r>
          </w:p>
        </w:tc>
      </w:tr>
      <w:tr w:rsidR="006A7BBA" w:rsidRPr="00F547CC" w14:paraId="0128B290" w14:textId="77777777" w:rsidTr="009F4221">
        <w:trPr>
          <w:trHeight w:val="144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2779D8CB" w14:textId="77777777" w:rsidR="006A7BBA" w:rsidRPr="00E07180" w:rsidRDefault="006A7BBA" w:rsidP="006A7BBA">
            <w:pPr>
              <w:widowControl/>
              <w:autoSpaceDE/>
              <w:autoSpaceDN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Construction Managers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087EB353" w14:textId="6BEFA5BE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60,088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7FB226E1" w14:textId="4A204BB8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7.4%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708A7AA0" w14:textId="05DA3F19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85,914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0B8F33C1" w14:textId="5CCCE053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8.6%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accent5"/>
            <w:vAlign w:val="bottom"/>
            <w:hideMark/>
          </w:tcPr>
          <w:p w14:paraId="0FC12EAF" w14:textId="77777777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lang w:bidi="ar-SA"/>
              </w:rPr>
              <w:t>43.0%</w:t>
            </w:r>
          </w:p>
        </w:tc>
      </w:tr>
      <w:tr w:rsidR="006A7BBA" w:rsidRPr="00F547CC" w14:paraId="04DAAECD" w14:textId="77777777" w:rsidTr="009F4221">
        <w:trPr>
          <w:trHeight w:val="144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00A1" w14:textId="58123B18" w:rsidR="006A7BBA" w:rsidRPr="00E07180" w:rsidRDefault="006A7BBA" w:rsidP="006A7BBA">
            <w:pPr>
              <w:widowControl/>
              <w:autoSpaceDE/>
              <w:autoSpaceDN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All Construction Industry (including office</w:t>
            </w:r>
            <w:r w:rsidR="009F4221"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/</w:t>
            </w: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admin)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CA73" w14:textId="64C04B4D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939,000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7854" w14:textId="77089C38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9.1%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308E0" w14:textId="1900567B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1,241,000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7BD4" w14:textId="726BA755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11.0%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308F" w14:textId="77777777" w:rsidR="006A7BBA" w:rsidRPr="00E07180" w:rsidRDefault="006A7BBA" w:rsidP="006A7BBA">
            <w:pPr>
              <w:widowControl/>
              <w:autoSpaceDE/>
              <w:autoSpaceDN/>
              <w:jc w:val="right"/>
              <w:rPr>
                <w:rFonts w:ascii="Helvetica" w:eastAsia="Times New Roman" w:hAnsi="Helvetica" w:cs="Tahoma"/>
                <w:color w:val="000000"/>
                <w:lang w:bidi="ar-SA"/>
              </w:rPr>
            </w:pPr>
            <w:r w:rsidRPr="00E07180">
              <w:rPr>
                <w:rFonts w:ascii="Helvetica" w:eastAsia="Times New Roman" w:hAnsi="Helvetica" w:cs="Tahoma"/>
                <w:color w:val="000000"/>
                <w:lang w:bidi="ar-SA"/>
              </w:rPr>
              <w:t>32.2%</w:t>
            </w:r>
          </w:p>
        </w:tc>
      </w:tr>
    </w:tbl>
    <w:p w14:paraId="056E7C36" w14:textId="77777777" w:rsidR="000C31B6" w:rsidRPr="00E550BE" w:rsidRDefault="000C31B6" w:rsidP="00AA2F17">
      <w:pPr>
        <w:rPr>
          <w:rFonts w:ascii="Helvetica" w:hAnsi="Helvetica" w:cs="Tahoma"/>
          <w:sz w:val="20"/>
          <w:szCs w:val="20"/>
        </w:rPr>
      </w:pPr>
    </w:p>
    <w:p w14:paraId="67AEAED8" w14:textId="702128CE" w:rsidR="00AA2F17" w:rsidRPr="00E550BE" w:rsidRDefault="00BF5BCD" w:rsidP="00AA2F17">
      <w:pPr>
        <w:rPr>
          <w:rFonts w:ascii="Helvetica" w:eastAsiaTheme="minorHAnsi" w:hAnsi="Helvetica" w:cs="Tahoma"/>
          <w:sz w:val="18"/>
          <w:szCs w:val="18"/>
          <w:lang w:bidi="ar-SA"/>
        </w:rPr>
      </w:pPr>
      <w:r w:rsidRPr="00E550BE">
        <w:rPr>
          <w:rFonts w:ascii="Helvetica" w:hAnsi="Helvetica" w:cs="Tahoma"/>
          <w:sz w:val="18"/>
          <w:szCs w:val="18"/>
        </w:rPr>
        <w:t>Note: *</w:t>
      </w:r>
      <w:r w:rsidR="000C31B6" w:rsidRPr="00E550BE">
        <w:rPr>
          <w:rFonts w:ascii="Helvetica" w:hAnsi="Helvetica" w:cs="Tahoma"/>
          <w:sz w:val="18"/>
          <w:szCs w:val="18"/>
        </w:rPr>
        <w:t>In 2020, the U.S. Bureau of Labor Statistics amended the definitions of some occupations; this means that data for 2016 and for 2021 are not fully comparable</w:t>
      </w:r>
      <w:r w:rsidR="00782B3C">
        <w:rPr>
          <w:rFonts w:ascii="Helvetica" w:hAnsi="Helvetica" w:cs="Tahoma"/>
          <w:sz w:val="18"/>
          <w:szCs w:val="18"/>
        </w:rPr>
        <w:t>; data collection problems during COVID-19 also lead to greater potential estimation difficulties for 2021</w:t>
      </w:r>
      <w:r w:rsidR="00443E4B" w:rsidRPr="00E550BE">
        <w:rPr>
          <w:rFonts w:ascii="Helvetica" w:hAnsi="Helvetica" w:cs="Tahoma"/>
          <w:sz w:val="18"/>
          <w:szCs w:val="18"/>
        </w:rPr>
        <w:t xml:space="preserve">. </w:t>
      </w:r>
      <w:r w:rsidRPr="00E550BE">
        <w:rPr>
          <w:rFonts w:ascii="Helvetica" w:hAnsi="Helvetica" w:cs="Tahoma"/>
          <w:sz w:val="18"/>
          <w:szCs w:val="18"/>
        </w:rPr>
        <w:t xml:space="preserve">Source: </w:t>
      </w:r>
      <w:r w:rsidR="00AA2F17" w:rsidRPr="00E550BE">
        <w:rPr>
          <w:rFonts w:ascii="Helvetica" w:hAnsi="Helvetica" w:cs="Tahoma"/>
          <w:sz w:val="18"/>
          <w:szCs w:val="18"/>
        </w:rPr>
        <w:t>Institute for Women’s Policy Research</w:t>
      </w:r>
      <w:r w:rsidR="000C31B6" w:rsidRPr="00E550BE">
        <w:rPr>
          <w:rFonts w:ascii="Helvetica" w:hAnsi="Helvetica" w:cs="Tahoma"/>
          <w:sz w:val="18"/>
          <w:szCs w:val="18"/>
        </w:rPr>
        <w:t xml:space="preserve"> calculations based on U.S. Bureau of Labor Statistics Current Population Survey Annual Averages Table 11. Employed persons by detailed occupation, sex, race, and Hispanic or Latino ethnicity, and Table </w:t>
      </w:r>
      <w:r w:rsidR="000C31B6" w:rsidRPr="00E550BE">
        <w:rPr>
          <w:rStyle w:val="Hyperlink"/>
          <w:rFonts w:ascii="Helvetica" w:hAnsi="Helvetica" w:cs="Tahoma"/>
          <w:color w:val="auto"/>
          <w:sz w:val="18"/>
          <w:szCs w:val="18"/>
          <w:u w:val="none"/>
        </w:rPr>
        <w:t>14.  Employed persons in nonagricultural industries by age, sex, race, and Hispanic or Latino ethnicity &lt;https://www.bls.gov/cps/tables.htm&gt;</w:t>
      </w:r>
    </w:p>
    <w:p w14:paraId="7506DAD2" w14:textId="77777777" w:rsidR="00177250" w:rsidRDefault="00177250" w:rsidP="00C53C03">
      <w:pPr>
        <w:pStyle w:val="BodyText"/>
        <w:spacing w:before="1"/>
        <w:rPr>
          <w:rFonts w:ascii="Helvetica" w:hAnsi="Helvetica" w:cs="Tahoma"/>
          <w:sz w:val="20"/>
          <w:szCs w:val="20"/>
        </w:rPr>
      </w:pPr>
    </w:p>
    <w:p w14:paraId="59F7A8AF" w14:textId="0D0F28C1" w:rsidR="00E3311B" w:rsidRPr="00256A6F" w:rsidRDefault="00B40694" w:rsidP="00C53C03">
      <w:pPr>
        <w:pStyle w:val="BodyText"/>
        <w:spacing w:before="1"/>
        <w:rPr>
          <w:rFonts w:ascii="Helvetica" w:hAnsi="Helvetica" w:cs="Tahoma"/>
          <w:sz w:val="20"/>
          <w:szCs w:val="20"/>
        </w:rPr>
      </w:pPr>
      <w:r w:rsidRPr="00256A6F">
        <w:rPr>
          <w:rFonts w:ascii="Helvetica" w:hAnsi="Helvetica" w:cs="Tahoma"/>
          <w:sz w:val="20"/>
          <w:szCs w:val="20"/>
        </w:rPr>
        <w:t>T</w:t>
      </w:r>
      <w:r w:rsidR="00E26416" w:rsidRPr="00256A6F">
        <w:rPr>
          <w:rFonts w:ascii="Helvetica" w:hAnsi="Helvetica" w:cs="Tahoma"/>
          <w:sz w:val="20"/>
          <w:szCs w:val="20"/>
        </w:rPr>
        <w:t xml:space="preserve">he </w:t>
      </w:r>
      <w:r w:rsidR="00E26416" w:rsidRPr="00256A6F">
        <w:rPr>
          <w:rFonts w:ascii="Helvetica" w:hAnsi="Helvetica" w:cs="Tahoma"/>
          <w:b/>
          <w:sz w:val="20"/>
          <w:szCs w:val="20"/>
        </w:rPr>
        <w:t>National Taskforce on Tradeswomen’s Issues</w:t>
      </w:r>
      <w:r w:rsidR="00E26416" w:rsidRPr="00256A6F">
        <w:rPr>
          <w:rFonts w:ascii="Helvetica" w:hAnsi="Helvetica" w:cs="Tahoma"/>
          <w:sz w:val="20"/>
          <w:szCs w:val="20"/>
        </w:rPr>
        <w:t xml:space="preserve"> is a coalition of </w:t>
      </w:r>
      <w:r w:rsidRPr="00256A6F">
        <w:rPr>
          <w:rFonts w:ascii="Helvetica" w:hAnsi="Helvetica" w:cs="Tahoma"/>
          <w:sz w:val="20"/>
          <w:szCs w:val="20"/>
        </w:rPr>
        <w:t xml:space="preserve">tradeswomen </w:t>
      </w:r>
      <w:r w:rsidR="00E26416" w:rsidRPr="00256A6F">
        <w:rPr>
          <w:rFonts w:ascii="Helvetica" w:hAnsi="Helvetica" w:cs="Tahoma"/>
          <w:sz w:val="20"/>
          <w:szCs w:val="20"/>
        </w:rPr>
        <w:t xml:space="preserve">organizations, advocates, allies and individual tradeswomen. The Taskforce promotes public policies and best practices towards equity in apprenticeship, training, workforce development, career and technical education, and in </w:t>
      </w:r>
      <w:r w:rsidR="00514C18" w:rsidRPr="00256A6F">
        <w:rPr>
          <w:rFonts w:ascii="Helvetica" w:hAnsi="Helvetica" w:cs="Tahoma"/>
          <w:sz w:val="20"/>
          <w:szCs w:val="20"/>
        </w:rPr>
        <w:t xml:space="preserve">workplace </w:t>
      </w:r>
      <w:r w:rsidR="00E26416" w:rsidRPr="00256A6F">
        <w:rPr>
          <w:rFonts w:ascii="Helvetica" w:hAnsi="Helvetica" w:cs="Tahoma"/>
          <w:sz w:val="20"/>
          <w:szCs w:val="20"/>
        </w:rPr>
        <w:t xml:space="preserve">experience in construction and other </w:t>
      </w:r>
      <w:r w:rsidR="00E36537" w:rsidRPr="00256A6F">
        <w:rPr>
          <w:rFonts w:ascii="Helvetica" w:hAnsi="Helvetica" w:cs="Tahoma"/>
          <w:sz w:val="20"/>
          <w:szCs w:val="20"/>
        </w:rPr>
        <w:t>trades</w:t>
      </w:r>
      <w:r w:rsidR="00E26416" w:rsidRPr="00256A6F">
        <w:rPr>
          <w:rFonts w:ascii="Helvetica" w:hAnsi="Helvetica" w:cs="Tahoma"/>
          <w:sz w:val="20"/>
          <w:szCs w:val="20"/>
        </w:rPr>
        <w:t xml:space="preserve"> occupations for women.</w:t>
      </w:r>
      <w:r w:rsidR="00260C1D" w:rsidRPr="00256A6F">
        <w:rPr>
          <w:rFonts w:ascii="Helvetica" w:hAnsi="Helvetica" w:cs="Tahoma"/>
          <w:sz w:val="20"/>
          <w:szCs w:val="20"/>
        </w:rPr>
        <w:t xml:space="preserve"> </w:t>
      </w:r>
      <w:r w:rsidRPr="00256A6F">
        <w:rPr>
          <w:rFonts w:ascii="Helvetica" w:hAnsi="Helvetica" w:cs="Tahoma"/>
          <w:b/>
          <w:sz w:val="20"/>
          <w:szCs w:val="20"/>
        </w:rPr>
        <w:t>Numbers matter</w:t>
      </w:r>
      <w:r w:rsidRPr="00256A6F">
        <w:rPr>
          <w:rFonts w:ascii="Helvetica" w:hAnsi="Helvetica" w:cs="Tahoma"/>
          <w:sz w:val="20"/>
          <w:szCs w:val="20"/>
        </w:rPr>
        <w:t xml:space="preserve">. </w:t>
      </w:r>
      <w:r w:rsidR="00385E39" w:rsidRPr="00256A6F">
        <w:rPr>
          <w:rFonts w:ascii="Helvetica" w:hAnsi="Helvetica" w:cs="Tahoma"/>
          <w:sz w:val="20"/>
          <w:szCs w:val="20"/>
        </w:rPr>
        <w:t xml:space="preserve">Having clear data </w:t>
      </w:r>
      <w:r w:rsidR="009A0C76" w:rsidRPr="00256A6F">
        <w:rPr>
          <w:rFonts w:ascii="Helvetica" w:hAnsi="Helvetica" w:cs="Tahoma"/>
          <w:sz w:val="20"/>
          <w:szCs w:val="20"/>
        </w:rPr>
        <w:t xml:space="preserve">can create accountability and </w:t>
      </w:r>
      <w:r w:rsidR="00385E39" w:rsidRPr="00256A6F">
        <w:rPr>
          <w:rFonts w:ascii="Helvetica" w:hAnsi="Helvetica" w:cs="Tahoma"/>
          <w:sz w:val="20"/>
          <w:szCs w:val="20"/>
        </w:rPr>
        <w:t xml:space="preserve">help policy makers ensure that tradeswomen have access to sustainable careers, </w:t>
      </w:r>
      <w:r w:rsidR="009A0C76" w:rsidRPr="00256A6F">
        <w:rPr>
          <w:rFonts w:ascii="Helvetica" w:hAnsi="Helvetica" w:cs="Tahoma"/>
          <w:sz w:val="20"/>
          <w:szCs w:val="20"/>
        </w:rPr>
        <w:t>with</w:t>
      </w:r>
      <w:r w:rsidR="00385E39" w:rsidRPr="00256A6F">
        <w:rPr>
          <w:rFonts w:ascii="Helvetica" w:hAnsi="Helvetica" w:cs="Tahoma"/>
          <w:sz w:val="20"/>
          <w:szCs w:val="20"/>
        </w:rPr>
        <w:t xml:space="preserve"> adequate work hours, workplace policies that support work/family balance, comprehensive on-the-job training and freedom from </w:t>
      </w:r>
      <w:r w:rsidR="00514C18" w:rsidRPr="00256A6F">
        <w:rPr>
          <w:rFonts w:ascii="Helvetica" w:hAnsi="Helvetica" w:cs="Tahoma"/>
          <w:sz w:val="20"/>
          <w:szCs w:val="20"/>
        </w:rPr>
        <w:t xml:space="preserve">bias, </w:t>
      </w:r>
      <w:r w:rsidR="00385E39" w:rsidRPr="00256A6F">
        <w:rPr>
          <w:rFonts w:ascii="Helvetica" w:hAnsi="Helvetica" w:cs="Tahoma"/>
          <w:sz w:val="20"/>
          <w:szCs w:val="20"/>
        </w:rPr>
        <w:t>sexual and racial h</w:t>
      </w:r>
      <w:r w:rsidR="00BF5BCD" w:rsidRPr="00256A6F">
        <w:rPr>
          <w:rFonts w:ascii="Helvetica" w:hAnsi="Helvetica" w:cs="Tahoma"/>
          <w:sz w:val="20"/>
          <w:szCs w:val="20"/>
        </w:rPr>
        <w:t xml:space="preserve">arassment. </w:t>
      </w:r>
      <w:r w:rsidR="00BF5BCD" w:rsidRPr="00256A6F">
        <w:rPr>
          <w:rFonts w:ascii="Helvetica" w:hAnsi="Helvetica" w:cs="Tahoma"/>
          <w:b/>
          <w:sz w:val="20"/>
          <w:szCs w:val="20"/>
        </w:rPr>
        <w:t>T</w:t>
      </w:r>
      <w:r w:rsidR="00385E39" w:rsidRPr="00256A6F">
        <w:rPr>
          <w:rFonts w:ascii="Helvetica" w:hAnsi="Helvetica" w:cs="Tahoma"/>
          <w:b/>
          <w:sz w:val="20"/>
          <w:szCs w:val="20"/>
        </w:rPr>
        <w:t xml:space="preserve">he industry as a whole benefits greatly from access to </w:t>
      </w:r>
      <w:r w:rsidR="00514C18" w:rsidRPr="00256A6F">
        <w:rPr>
          <w:rFonts w:ascii="Helvetica" w:hAnsi="Helvetica" w:cs="Tahoma"/>
          <w:b/>
          <w:sz w:val="20"/>
          <w:szCs w:val="20"/>
        </w:rPr>
        <w:t xml:space="preserve">the </w:t>
      </w:r>
      <w:r w:rsidR="00385E39" w:rsidRPr="00256A6F">
        <w:rPr>
          <w:rFonts w:ascii="Helvetica" w:hAnsi="Helvetica" w:cs="Tahoma"/>
          <w:b/>
          <w:sz w:val="20"/>
          <w:szCs w:val="20"/>
        </w:rPr>
        <w:t>skilled work</w:t>
      </w:r>
      <w:r w:rsidR="00514C18" w:rsidRPr="00256A6F">
        <w:rPr>
          <w:rFonts w:ascii="Helvetica" w:hAnsi="Helvetica" w:cs="Tahoma"/>
          <w:b/>
          <w:sz w:val="20"/>
          <w:szCs w:val="20"/>
        </w:rPr>
        <w:t xml:space="preserve"> of tradeswomen</w:t>
      </w:r>
      <w:r w:rsidR="00385E39" w:rsidRPr="00256A6F">
        <w:rPr>
          <w:rFonts w:ascii="Helvetica" w:hAnsi="Helvetica" w:cs="Tahoma"/>
          <w:sz w:val="20"/>
          <w:szCs w:val="20"/>
        </w:rPr>
        <w:t>.</w:t>
      </w:r>
    </w:p>
    <w:p w14:paraId="4EC48F1D" w14:textId="77777777" w:rsidR="00256A6F" w:rsidRDefault="00256A6F" w:rsidP="00C53C03">
      <w:pPr>
        <w:pStyle w:val="BodyText"/>
        <w:spacing w:before="1"/>
        <w:rPr>
          <w:rFonts w:ascii="Helvetica" w:hAnsi="Helvetica" w:cs="Tahoma"/>
        </w:rPr>
      </w:pPr>
    </w:p>
    <w:p w14:paraId="010A8B09" w14:textId="77777777" w:rsidR="00256A6F" w:rsidRDefault="00256A6F" w:rsidP="00C53C03">
      <w:pPr>
        <w:pStyle w:val="BodyText"/>
        <w:spacing w:before="1"/>
        <w:rPr>
          <w:rFonts w:ascii="Helvetica" w:hAnsi="Helvetica" w:cs="Tahoma"/>
          <w:sz w:val="20"/>
          <w:szCs w:val="20"/>
        </w:rPr>
      </w:pPr>
    </w:p>
    <w:p w14:paraId="28201DD8" w14:textId="53B446F0" w:rsidR="00256A6F" w:rsidRPr="00256A6F" w:rsidRDefault="00256A6F" w:rsidP="00C53C03">
      <w:pPr>
        <w:pStyle w:val="BodyText"/>
        <w:spacing w:before="1"/>
        <w:rPr>
          <w:rFonts w:ascii="Helvetica" w:hAnsi="Helvetica" w:cs="Tahoma"/>
          <w:sz w:val="20"/>
          <w:szCs w:val="20"/>
        </w:rPr>
      </w:pPr>
      <w:bookmarkStart w:id="0" w:name="_GoBack"/>
      <w:bookmarkEnd w:id="0"/>
      <w:r w:rsidRPr="00256A6F">
        <w:rPr>
          <w:rFonts w:ascii="Helvetica" w:hAnsi="Helvetica" w:cs="Tahoma"/>
          <w:sz w:val="20"/>
          <w:szCs w:val="20"/>
        </w:rPr>
        <w:t xml:space="preserve">The National Taskforce on Tradeswomen’s Issues is grateful for the data analysis of Ariane Hegewisch and Eve Mefferd of the Institute for Women’s Policy Research that enabled this brief. </w:t>
      </w:r>
    </w:p>
    <w:sectPr w:rsidR="00256A6F" w:rsidRPr="00256A6F" w:rsidSect="00E550B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3AC50" w14:textId="77777777" w:rsidR="001169C6" w:rsidRDefault="001169C6" w:rsidP="004044B2">
      <w:r>
        <w:separator/>
      </w:r>
    </w:p>
  </w:endnote>
  <w:endnote w:type="continuationSeparator" w:id="0">
    <w:p w14:paraId="3715BE4E" w14:textId="77777777" w:rsidR="001169C6" w:rsidRDefault="001169C6" w:rsidP="0040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FD91D" w14:textId="210F9341" w:rsidR="00260BB1" w:rsidRPr="00E3311B" w:rsidRDefault="00260BB1" w:rsidP="00C53C03">
    <w:pPr>
      <w:pStyle w:val="Footer"/>
      <w:jc w:val="center"/>
      <w:rPr>
        <w:color w:val="69016E" w:themeColor="accent1"/>
      </w:rPr>
    </w:pPr>
    <w:r w:rsidRPr="00E3311B">
      <w:rPr>
        <w:color w:val="69016E" w:themeColor="accent1"/>
      </w:rPr>
      <w:t>www.tradeswomentaskforce.org</w:t>
    </w:r>
  </w:p>
  <w:p w14:paraId="29E4145A" w14:textId="1AAB95D9" w:rsidR="00260BB1" w:rsidRPr="00E3311B" w:rsidRDefault="00E550BE" w:rsidP="00C53C03">
    <w:pPr>
      <w:pStyle w:val="Footer"/>
      <w:jc w:val="center"/>
      <w:rPr>
        <w:color w:val="69016E" w:themeColor="accent1"/>
      </w:rPr>
    </w:pPr>
    <w:r w:rsidRPr="00E3311B">
      <w:rPr>
        <w:color w:val="69016E" w:themeColor="accent1"/>
      </w:rPr>
      <w:t>March 2022</w:t>
    </w:r>
    <w:r w:rsidR="00260BB1" w:rsidRPr="00E3311B">
      <w:rPr>
        <w:color w:val="69016E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F28D9" w14:textId="77777777" w:rsidR="001169C6" w:rsidRDefault="001169C6" w:rsidP="004044B2">
      <w:r>
        <w:separator/>
      </w:r>
    </w:p>
  </w:footnote>
  <w:footnote w:type="continuationSeparator" w:id="0">
    <w:p w14:paraId="4FD55AFA" w14:textId="77777777" w:rsidR="001169C6" w:rsidRDefault="001169C6" w:rsidP="004044B2">
      <w:r>
        <w:continuationSeparator/>
      </w:r>
    </w:p>
  </w:footnote>
  <w:footnote w:id="1">
    <w:p w14:paraId="22B8F781" w14:textId="13252F08" w:rsidR="000C31B6" w:rsidRDefault="000C31B6">
      <w:pPr>
        <w:pStyle w:val="FootnoteText"/>
      </w:pPr>
      <w:r>
        <w:rPr>
          <w:rStyle w:val="FootnoteReference"/>
        </w:rPr>
        <w:footnoteRef/>
      </w:r>
      <w:r>
        <w:t xml:space="preserve"> Ariane Hegewisch and Eve Mefferd (2021) A Future </w:t>
      </w:r>
      <w:proofErr w:type="gramStart"/>
      <w:r>
        <w:t>Worth</w:t>
      </w:r>
      <w:proofErr w:type="gramEnd"/>
      <w:r>
        <w:t xml:space="preserve"> Building: What Tradeswomen Say about the Change they Need in the Construction Industry. </w:t>
      </w:r>
      <w:r w:rsidR="00995E66">
        <w:t>&lt;</w:t>
      </w:r>
      <w:r w:rsidR="00995E66" w:rsidRPr="00995E66">
        <w:t>https://iwpr.org/iwpr-publications/a-future-worth-building-report/</w:t>
      </w:r>
      <w:r w:rsidR="00995E66">
        <w:t>&gt;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A571C" w14:textId="0D6002B0" w:rsidR="00260BB1" w:rsidRPr="00E3311B" w:rsidRDefault="00E07180" w:rsidP="00E550BE">
    <w:pPr>
      <w:pStyle w:val="Header"/>
      <w:rPr>
        <w:rFonts w:ascii="Helvetica" w:hAnsi="Helvetica"/>
        <w:color w:val="69016E" w:themeColor="accent1"/>
        <w:sz w:val="32"/>
        <w:szCs w:val="32"/>
      </w:rPr>
    </w:pPr>
    <w:r>
      <w:rPr>
        <w:rFonts w:ascii="Helvetica" w:hAnsi="Helvetica"/>
        <w:color w:val="69016E" w:themeColor="accent1"/>
        <w:sz w:val="32"/>
        <w:szCs w:val="32"/>
      </w:rPr>
      <w:t>NATIONAL TASK</w:t>
    </w:r>
    <w:r w:rsidR="00260BB1" w:rsidRPr="00E3311B">
      <w:rPr>
        <w:rFonts w:ascii="Helvetica" w:hAnsi="Helvetica"/>
        <w:color w:val="69016E" w:themeColor="accent1"/>
        <w:sz w:val="32"/>
        <w:szCs w:val="32"/>
      </w:rPr>
      <w:t>FORCE ON TRADESWOMEN’S ISSUES</w:t>
    </w:r>
  </w:p>
  <w:p w14:paraId="646DE887" w14:textId="77777777" w:rsidR="00260BB1" w:rsidRDefault="00260BB1" w:rsidP="00411F7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742C1"/>
    <w:multiLevelType w:val="hybridMultilevel"/>
    <w:tmpl w:val="FBCA1676"/>
    <w:lvl w:ilvl="0" w:tplc="2D269A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39"/>
    <w:rsid w:val="000158D5"/>
    <w:rsid w:val="000173B2"/>
    <w:rsid w:val="00037DFF"/>
    <w:rsid w:val="00066225"/>
    <w:rsid w:val="00073383"/>
    <w:rsid w:val="00087E3E"/>
    <w:rsid w:val="000C31B6"/>
    <w:rsid w:val="000D2059"/>
    <w:rsid w:val="000D6A14"/>
    <w:rsid w:val="000E2DDC"/>
    <w:rsid w:val="000F31D3"/>
    <w:rsid w:val="001169C6"/>
    <w:rsid w:val="001507C1"/>
    <w:rsid w:val="0016312E"/>
    <w:rsid w:val="001660F4"/>
    <w:rsid w:val="00177250"/>
    <w:rsid w:val="001D43AF"/>
    <w:rsid w:val="001E6348"/>
    <w:rsid w:val="00234BCF"/>
    <w:rsid w:val="00256A6F"/>
    <w:rsid w:val="00260BB1"/>
    <w:rsid w:val="00260C1D"/>
    <w:rsid w:val="00264AA5"/>
    <w:rsid w:val="002B2C95"/>
    <w:rsid w:val="002B6642"/>
    <w:rsid w:val="002C08AC"/>
    <w:rsid w:val="00385E39"/>
    <w:rsid w:val="003861E6"/>
    <w:rsid w:val="003B1644"/>
    <w:rsid w:val="003F6B4B"/>
    <w:rsid w:val="00402304"/>
    <w:rsid w:val="004044B2"/>
    <w:rsid w:val="00411F76"/>
    <w:rsid w:val="004177F1"/>
    <w:rsid w:val="004254C1"/>
    <w:rsid w:val="00443E4B"/>
    <w:rsid w:val="004731CA"/>
    <w:rsid w:val="00484710"/>
    <w:rsid w:val="004A35D1"/>
    <w:rsid w:val="00514C18"/>
    <w:rsid w:val="00540CD3"/>
    <w:rsid w:val="005575CA"/>
    <w:rsid w:val="00597071"/>
    <w:rsid w:val="005A32E9"/>
    <w:rsid w:val="006006CC"/>
    <w:rsid w:val="00602512"/>
    <w:rsid w:val="00620A71"/>
    <w:rsid w:val="006275D1"/>
    <w:rsid w:val="00681F2E"/>
    <w:rsid w:val="006A5203"/>
    <w:rsid w:val="006A7BBA"/>
    <w:rsid w:val="006B4553"/>
    <w:rsid w:val="00741D0C"/>
    <w:rsid w:val="0074518C"/>
    <w:rsid w:val="007674C0"/>
    <w:rsid w:val="00782B3C"/>
    <w:rsid w:val="007C19FF"/>
    <w:rsid w:val="0081151F"/>
    <w:rsid w:val="00836A71"/>
    <w:rsid w:val="00840080"/>
    <w:rsid w:val="00856B22"/>
    <w:rsid w:val="00902F1D"/>
    <w:rsid w:val="009261EC"/>
    <w:rsid w:val="00995E66"/>
    <w:rsid w:val="009A0C76"/>
    <w:rsid w:val="009D0A10"/>
    <w:rsid w:val="009F4221"/>
    <w:rsid w:val="00A04748"/>
    <w:rsid w:val="00A632A7"/>
    <w:rsid w:val="00A64877"/>
    <w:rsid w:val="00A971EB"/>
    <w:rsid w:val="00AA2F17"/>
    <w:rsid w:val="00AB4014"/>
    <w:rsid w:val="00B27AA9"/>
    <w:rsid w:val="00B323C6"/>
    <w:rsid w:val="00B40694"/>
    <w:rsid w:val="00B7091F"/>
    <w:rsid w:val="00B75B91"/>
    <w:rsid w:val="00B87949"/>
    <w:rsid w:val="00BE5892"/>
    <w:rsid w:val="00BF05C1"/>
    <w:rsid w:val="00BF5BCD"/>
    <w:rsid w:val="00C11C78"/>
    <w:rsid w:val="00C53C03"/>
    <w:rsid w:val="00C76FD6"/>
    <w:rsid w:val="00CA123F"/>
    <w:rsid w:val="00CC75A0"/>
    <w:rsid w:val="00D25A13"/>
    <w:rsid w:val="00D34C57"/>
    <w:rsid w:val="00DC268A"/>
    <w:rsid w:val="00DD66FD"/>
    <w:rsid w:val="00DE35F7"/>
    <w:rsid w:val="00E07180"/>
    <w:rsid w:val="00E26416"/>
    <w:rsid w:val="00E3311B"/>
    <w:rsid w:val="00E36537"/>
    <w:rsid w:val="00E4466D"/>
    <w:rsid w:val="00E54DDE"/>
    <w:rsid w:val="00E550BE"/>
    <w:rsid w:val="00E80D47"/>
    <w:rsid w:val="00E937F0"/>
    <w:rsid w:val="00EB43E4"/>
    <w:rsid w:val="00F007A8"/>
    <w:rsid w:val="00F05595"/>
    <w:rsid w:val="00F1480B"/>
    <w:rsid w:val="00F2589B"/>
    <w:rsid w:val="00F26634"/>
    <w:rsid w:val="00F273B5"/>
    <w:rsid w:val="00F348BE"/>
    <w:rsid w:val="00F34C20"/>
    <w:rsid w:val="00F376BC"/>
    <w:rsid w:val="00F547CC"/>
    <w:rsid w:val="00F66975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BFF7AC"/>
  <w15:docId w15:val="{059E2710-A819-44E7-83CD-A7221026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5E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5E39"/>
  </w:style>
  <w:style w:type="character" w:customStyle="1" w:styleId="BodyTextChar">
    <w:name w:val="Body Text Char"/>
    <w:basedOn w:val="DefaultParagraphFont"/>
    <w:link w:val="BodyText"/>
    <w:uiPriority w:val="1"/>
    <w:rsid w:val="00385E39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15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205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D2059"/>
    <w:pPr>
      <w:widowControl/>
      <w:autoSpaceDE/>
      <w:autoSpaceDN/>
      <w:ind w:left="720"/>
    </w:pPr>
    <w:rPr>
      <w:rFonts w:eastAsiaTheme="minorHAnsi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E6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3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348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348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48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04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4B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04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4B2"/>
    <w:rPr>
      <w:rFonts w:ascii="Calibri" w:eastAsia="Calibri" w:hAnsi="Calibri" w:cs="Calibri"/>
      <w:lang w:bidi="en-US"/>
    </w:rPr>
  </w:style>
  <w:style w:type="table" w:customStyle="1" w:styleId="ListTable4-Accent51">
    <w:name w:val="List Table 4 - Accent 51"/>
    <w:basedOn w:val="TableNormal"/>
    <w:uiPriority w:val="49"/>
    <w:rsid w:val="00411F76"/>
    <w:pPr>
      <w:spacing w:after="0" w:line="240" w:lineRule="auto"/>
    </w:pPr>
    <w:tblPr>
      <w:tblStyleRowBandSize w:val="1"/>
      <w:tblStyleColBandSize w:val="1"/>
      <w:tblBorders>
        <w:top w:val="single" w:sz="4" w:space="0" w:color="F0EFEF" w:themeColor="accent5" w:themeTint="99"/>
        <w:left w:val="single" w:sz="4" w:space="0" w:color="F0EFEF" w:themeColor="accent5" w:themeTint="99"/>
        <w:bottom w:val="single" w:sz="4" w:space="0" w:color="F0EFEF" w:themeColor="accent5" w:themeTint="99"/>
        <w:right w:val="single" w:sz="4" w:space="0" w:color="F0EFEF" w:themeColor="accent5" w:themeTint="99"/>
        <w:insideH w:val="single" w:sz="4" w:space="0" w:color="F0EFE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E6E6" w:themeColor="accent5"/>
          <w:left w:val="single" w:sz="4" w:space="0" w:color="E7E6E6" w:themeColor="accent5"/>
          <w:bottom w:val="single" w:sz="4" w:space="0" w:color="E7E6E6" w:themeColor="accent5"/>
          <w:right w:val="single" w:sz="4" w:space="0" w:color="E7E6E6" w:themeColor="accent5"/>
          <w:insideH w:val="nil"/>
        </w:tcBorders>
        <w:shd w:val="clear" w:color="auto" w:fill="E7E6E6" w:themeFill="accent5"/>
      </w:tcPr>
    </w:tblStylePr>
    <w:tblStylePr w:type="lastRow">
      <w:rPr>
        <w:b/>
        <w:bCs/>
      </w:rPr>
      <w:tblPr/>
      <w:tcPr>
        <w:tcBorders>
          <w:top w:val="double" w:sz="4" w:space="0" w:color="F0EF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9" w:themeFill="accent5" w:themeFillTint="33"/>
      </w:tcPr>
    </w:tblStylePr>
    <w:tblStylePr w:type="band1Horz">
      <w:tblPr/>
      <w:tcPr>
        <w:shd w:val="clear" w:color="auto" w:fill="FAF9F9" w:themeFill="accent5" w:themeFillTint="33"/>
      </w:tcPr>
    </w:tblStylePr>
  </w:style>
  <w:style w:type="paragraph" w:styleId="Revision">
    <w:name w:val="Revision"/>
    <w:hidden/>
    <w:uiPriority w:val="99"/>
    <w:semiHidden/>
    <w:rsid w:val="006275D1"/>
    <w:pPr>
      <w:spacing w:after="0" w:line="240" w:lineRule="auto"/>
    </w:pPr>
    <w:rPr>
      <w:rFonts w:ascii="Calibri" w:eastAsia="Calibri" w:hAnsi="Calibri" w:cs="Calibri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31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1B6"/>
    <w:rPr>
      <w:rFonts w:ascii="Calibri" w:eastAsia="Calibri" w:hAnsi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C31B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e1">
  <a:themeElements>
    <a:clrScheme name="IWPR">
      <a:dk1>
        <a:sysClr val="windowText" lastClr="000000"/>
      </a:dk1>
      <a:lt1>
        <a:sysClr val="window" lastClr="FFFFFF"/>
      </a:lt1>
      <a:dk2>
        <a:srgbClr val="171616"/>
      </a:dk2>
      <a:lt2>
        <a:srgbClr val="E7E6E6"/>
      </a:lt2>
      <a:accent1>
        <a:srgbClr val="69016E"/>
      </a:accent1>
      <a:accent2>
        <a:srgbClr val="AB4097"/>
      </a:accent2>
      <a:accent3>
        <a:srgbClr val="DA2680"/>
      </a:accent3>
      <a:accent4>
        <a:srgbClr val="F73055"/>
      </a:accent4>
      <a:accent5>
        <a:srgbClr val="E7E6E6"/>
      </a:accent5>
      <a:accent6>
        <a:srgbClr val="A5A5A5"/>
      </a:accent6>
      <a:hlink>
        <a:srgbClr val="0563C1"/>
      </a:hlink>
      <a:folHlink>
        <a:srgbClr val="954F72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48F0-13C0-4264-9F31-4C77FECC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Ashbrook</dc:creator>
  <cp:keywords/>
  <dc:description/>
  <cp:lastModifiedBy>Connie Ashbrook</cp:lastModifiedBy>
  <cp:revision>3</cp:revision>
  <cp:lastPrinted>2022-02-15T21:36:00Z</cp:lastPrinted>
  <dcterms:created xsi:type="dcterms:W3CDTF">2022-03-06T02:19:00Z</dcterms:created>
  <dcterms:modified xsi:type="dcterms:W3CDTF">2022-03-06T02:24:00Z</dcterms:modified>
</cp:coreProperties>
</file>